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34E7" w14:textId="77777777" w:rsidR="009A38DB" w:rsidRPr="00A65457" w:rsidRDefault="009A38DB" w:rsidP="009A38DB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A65457">
        <w:rPr>
          <w:rFonts w:ascii="Verdana" w:hAnsi="Verdana"/>
          <w:b/>
          <w:bCs/>
          <w:sz w:val="24"/>
          <w:szCs w:val="24"/>
          <w:u w:val="single"/>
        </w:rPr>
        <w:t>Publications- Department of Haematology</w:t>
      </w:r>
    </w:p>
    <w:p w14:paraId="612E601A" w14:textId="77777777" w:rsidR="009A38DB" w:rsidRDefault="009A38DB" w:rsidP="009A38DB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r w:rsidRPr="00A65457">
        <w:rPr>
          <w:rFonts w:ascii="Verdana" w:hAnsi="Verdana"/>
          <w:b/>
          <w:bCs/>
          <w:sz w:val="24"/>
          <w:szCs w:val="24"/>
          <w:u w:val="single"/>
        </w:rPr>
        <w:t>201</w:t>
      </w:r>
      <w:r>
        <w:rPr>
          <w:rFonts w:ascii="Verdana" w:hAnsi="Verdana"/>
          <w:b/>
          <w:bCs/>
          <w:sz w:val="24"/>
          <w:szCs w:val="24"/>
          <w:u w:val="single"/>
        </w:rPr>
        <w:t>6</w:t>
      </w:r>
    </w:p>
    <w:p w14:paraId="4B29ABB9" w14:textId="77777777" w:rsidR="009A38DB" w:rsidRDefault="009A38DB" w:rsidP="009A38DB"/>
    <w:p w14:paraId="18ADAFBA" w14:textId="77777777" w:rsidR="009A38DB" w:rsidRPr="000D4C49" w:rsidRDefault="000D4C49" w:rsidP="000D4C49">
      <w:pPr>
        <w:rPr>
          <w:rFonts w:ascii="Verdana" w:hAnsi="Verdana"/>
          <w:sz w:val="24"/>
          <w:szCs w:val="24"/>
        </w:rPr>
      </w:pPr>
      <w:r w:rsidRPr="000D4C49">
        <w:rPr>
          <w:rFonts w:ascii="Verdana" w:hAnsi="Verdana"/>
          <w:b/>
          <w:bCs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9A38DB" w:rsidRPr="000D4C49">
        <w:rPr>
          <w:rFonts w:ascii="Verdana" w:hAnsi="Verdana"/>
          <w:sz w:val="24"/>
          <w:szCs w:val="24"/>
        </w:rPr>
        <w:t>Mevada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ST, Al-</w:t>
      </w:r>
      <w:proofErr w:type="spellStart"/>
      <w:r w:rsidR="009A38DB" w:rsidRPr="000D4C49">
        <w:rPr>
          <w:rFonts w:ascii="Verdana" w:hAnsi="Verdana"/>
          <w:sz w:val="24"/>
          <w:szCs w:val="24"/>
        </w:rPr>
        <w:t>Mahruqi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N, El-</w:t>
      </w:r>
      <w:proofErr w:type="spellStart"/>
      <w:r w:rsidR="009A38DB" w:rsidRPr="000D4C49">
        <w:rPr>
          <w:rFonts w:ascii="Verdana" w:hAnsi="Verdana"/>
          <w:sz w:val="24"/>
          <w:szCs w:val="24"/>
        </w:rPr>
        <w:t>Beshlawi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I, El-</w:t>
      </w:r>
      <w:proofErr w:type="spellStart"/>
      <w:r w:rsidR="009A38DB" w:rsidRPr="000D4C49">
        <w:rPr>
          <w:rFonts w:ascii="Verdana" w:hAnsi="Verdana"/>
          <w:sz w:val="24"/>
          <w:szCs w:val="24"/>
        </w:rPr>
        <w:t>Shinawy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M, Zachariah M, Al-</w:t>
      </w:r>
      <w:proofErr w:type="spellStart"/>
      <w:r w:rsidR="009A38DB" w:rsidRPr="000D4C49">
        <w:rPr>
          <w:rFonts w:ascii="Verdana" w:hAnsi="Verdana"/>
          <w:sz w:val="24"/>
          <w:szCs w:val="24"/>
        </w:rPr>
        <w:t>Rawas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AH, </w:t>
      </w:r>
      <w:proofErr w:type="spellStart"/>
      <w:r w:rsidR="009A38DB" w:rsidRPr="000D4C49">
        <w:rPr>
          <w:rFonts w:ascii="Verdana" w:hAnsi="Verdana"/>
          <w:b/>
          <w:bCs/>
          <w:sz w:val="24"/>
          <w:szCs w:val="24"/>
        </w:rPr>
        <w:t>Daar</w:t>
      </w:r>
      <w:proofErr w:type="spellEnd"/>
      <w:r w:rsidR="009A38DB" w:rsidRPr="000D4C49">
        <w:rPr>
          <w:rFonts w:ascii="Verdana" w:hAnsi="Verdana"/>
          <w:b/>
          <w:bCs/>
          <w:sz w:val="24"/>
          <w:szCs w:val="24"/>
        </w:rPr>
        <w:t xml:space="preserve"> S</w:t>
      </w:r>
      <w:r w:rsidR="009A38DB" w:rsidRPr="000D4C49">
        <w:rPr>
          <w:rFonts w:ascii="Verdana" w:hAnsi="Verdana"/>
          <w:sz w:val="24"/>
          <w:szCs w:val="24"/>
        </w:rPr>
        <w:t xml:space="preserve">, </w:t>
      </w:r>
      <w:proofErr w:type="spellStart"/>
      <w:r w:rsidR="009A38DB" w:rsidRPr="000D4C49">
        <w:rPr>
          <w:rFonts w:ascii="Verdana" w:hAnsi="Verdana"/>
          <w:sz w:val="24"/>
          <w:szCs w:val="24"/>
        </w:rPr>
        <w:t>Wali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Y. Single Breath-Hold Physiotherapy Technique: Effective tool for T2* magnetic resonance imaging in young patients with thalassaemia major. Sultan Qaboos </w:t>
      </w:r>
      <w:proofErr w:type="spellStart"/>
      <w:r w:rsidR="009A38DB" w:rsidRPr="000D4C49">
        <w:rPr>
          <w:rFonts w:ascii="Verdana" w:hAnsi="Verdana"/>
          <w:sz w:val="24"/>
          <w:szCs w:val="24"/>
        </w:rPr>
        <w:t>Univ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Med J. 2016 Feb;16(1</w:t>
      </w:r>
      <w:proofErr w:type="gramStart"/>
      <w:r w:rsidR="009A38DB" w:rsidRPr="000D4C49">
        <w:rPr>
          <w:rFonts w:ascii="Verdana" w:hAnsi="Verdana"/>
          <w:sz w:val="24"/>
          <w:szCs w:val="24"/>
        </w:rPr>
        <w:t>):e</w:t>
      </w:r>
      <w:proofErr w:type="gramEnd"/>
      <w:r w:rsidR="009A38DB" w:rsidRPr="000D4C49">
        <w:rPr>
          <w:rFonts w:ascii="Verdana" w:hAnsi="Verdana"/>
          <w:sz w:val="24"/>
          <w:szCs w:val="24"/>
        </w:rPr>
        <w:t xml:space="preserve">78-81. </w:t>
      </w:r>
      <w:hyperlink r:id="rId4" w:history="1">
        <w:r w:rsidRPr="000D4C49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http://dx.doi.org/10.18295/squmj.2016.16.01.014</w:t>
        </w:r>
        <w:r w:rsidRPr="000D4C49">
          <w:rPr>
            <w:rStyle w:val="apple-converted-space"/>
            <w:rFonts w:ascii="Verdana" w:hAnsi="Verdana"/>
            <w:color w:val="38A6CB"/>
            <w:sz w:val="24"/>
            <w:szCs w:val="24"/>
            <w:shd w:val="clear" w:color="auto" w:fill="FFFFFF"/>
          </w:rPr>
          <w:t> </w:t>
        </w:r>
      </w:hyperlink>
      <w:r w:rsidR="009A38DB" w:rsidRPr="000D4C49">
        <w:rPr>
          <w:rFonts w:ascii="Verdana" w:hAnsi="Verdana"/>
          <w:sz w:val="24"/>
          <w:szCs w:val="24"/>
        </w:rPr>
        <w:t>.</w:t>
      </w:r>
    </w:p>
    <w:p w14:paraId="5A3B2C0A" w14:textId="77777777" w:rsidR="009A38DB" w:rsidRPr="000D4C49" w:rsidRDefault="000D4C49" w:rsidP="000D4C4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2. </w:t>
      </w:r>
      <w:r w:rsidR="009A38DB" w:rsidRPr="000D4C49">
        <w:rPr>
          <w:rFonts w:ascii="Verdana" w:hAnsi="Verdana"/>
          <w:b/>
          <w:bCs/>
          <w:sz w:val="24"/>
          <w:szCs w:val="24"/>
        </w:rPr>
        <w:t>Al-</w:t>
      </w:r>
      <w:proofErr w:type="spellStart"/>
      <w:r w:rsidR="009A38DB" w:rsidRPr="000D4C49">
        <w:rPr>
          <w:rFonts w:ascii="Verdana" w:hAnsi="Verdana"/>
          <w:b/>
          <w:bCs/>
          <w:sz w:val="24"/>
          <w:szCs w:val="24"/>
        </w:rPr>
        <w:t>Riyami</w:t>
      </w:r>
      <w:proofErr w:type="spellEnd"/>
      <w:r w:rsidR="009A38DB" w:rsidRPr="000D4C49">
        <w:rPr>
          <w:rFonts w:ascii="Verdana" w:hAnsi="Verdana"/>
          <w:b/>
          <w:bCs/>
          <w:sz w:val="24"/>
          <w:szCs w:val="24"/>
        </w:rPr>
        <w:t xml:space="preserve"> AZ, Al-Farsi K, Al-</w:t>
      </w:r>
      <w:proofErr w:type="spellStart"/>
      <w:r w:rsidR="009A38DB" w:rsidRPr="000D4C49">
        <w:rPr>
          <w:rFonts w:ascii="Verdana" w:hAnsi="Verdana"/>
          <w:b/>
          <w:bCs/>
          <w:sz w:val="24"/>
          <w:szCs w:val="24"/>
        </w:rPr>
        <w:t>Khabori</w:t>
      </w:r>
      <w:proofErr w:type="spellEnd"/>
      <w:r w:rsidR="009A38DB" w:rsidRPr="000D4C49">
        <w:rPr>
          <w:rFonts w:ascii="Verdana" w:hAnsi="Verdana"/>
          <w:b/>
          <w:bCs/>
          <w:sz w:val="24"/>
          <w:szCs w:val="24"/>
        </w:rPr>
        <w:t xml:space="preserve"> M, Al-</w:t>
      </w:r>
      <w:proofErr w:type="spellStart"/>
      <w:r w:rsidR="009A38DB" w:rsidRPr="000D4C49">
        <w:rPr>
          <w:rFonts w:ascii="Verdana" w:hAnsi="Verdana"/>
          <w:b/>
          <w:bCs/>
          <w:sz w:val="24"/>
          <w:szCs w:val="24"/>
        </w:rPr>
        <w:t>Huneini</w:t>
      </w:r>
      <w:proofErr w:type="spellEnd"/>
      <w:r w:rsidR="009A38DB" w:rsidRPr="000D4C49">
        <w:rPr>
          <w:rFonts w:ascii="Verdana" w:hAnsi="Verdana"/>
          <w:b/>
          <w:bCs/>
          <w:sz w:val="24"/>
          <w:szCs w:val="24"/>
        </w:rPr>
        <w:t xml:space="preserve"> M</w:t>
      </w:r>
      <w:r w:rsidR="009A38DB" w:rsidRPr="000D4C49">
        <w:rPr>
          <w:rFonts w:ascii="Verdana" w:hAnsi="Verdana"/>
          <w:sz w:val="24"/>
          <w:szCs w:val="24"/>
        </w:rPr>
        <w:t>, Al-</w:t>
      </w:r>
      <w:proofErr w:type="spellStart"/>
      <w:r w:rsidR="009A38DB" w:rsidRPr="000D4C49">
        <w:rPr>
          <w:rFonts w:ascii="Verdana" w:hAnsi="Verdana"/>
          <w:sz w:val="24"/>
          <w:szCs w:val="24"/>
        </w:rPr>
        <w:t>Hadabbi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I. Unusual Indolent Course of a Chronic Active Epstein-Barr Virus-Associated Natural Killer Cell Lymphoproliferative Disorder. Sultan Qaboos </w:t>
      </w:r>
      <w:proofErr w:type="spellStart"/>
      <w:r w:rsidR="009A38DB" w:rsidRPr="000D4C49">
        <w:rPr>
          <w:rFonts w:ascii="Verdana" w:hAnsi="Verdana"/>
          <w:sz w:val="24"/>
          <w:szCs w:val="24"/>
        </w:rPr>
        <w:t>Univ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Med J. 2016 May;16(2</w:t>
      </w:r>
      <w:proofErr w:type="gramStart"/>
      <w:r w:rsidR="009A38DB" w:rsidRPr="000D4C49">
        <w:rPr>
          <w:rFonts w:ascii="Verdana" w:hAnsi="Verdana"/>
          <w:sz w:val="24"/>
          <w:szCs w:val="24"/>
        </w:rPr>
        <w:t>):e</w:t>
      </w:r>
      <w:proofErr w:type="gramEnd"/>
      <w:r w:rsidR="009A38DB" w:rsidRPr="000D4C49">
        <w:rPr>
          <w:rFonts w:ascii="Verdana" w:hAnsi="Verdana"/>
          <w:sz w:val="24"/>
          <w:szCs w:val="24"/>
        </w:rPr>
        <w:t xml:space="preserve">230-3. </w:t>
      </w:r>
      <w:hyperlink r:id="rId5" w:history="1">
        <w:r w:rsidRPr="000D4C49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http://dx.doi.org/10.18295/squmj.2016.16.02.015</w:t>
        </w:r>
        <w:r w:rsidRPr="000D4C49">
          <w:rPr>
            <w:rStyle w:val="apple-converted-space"/>
            <w:rFonts w:ascii="Verdana" w:hAnsi="Verdana"/>
            <w:color w:val="0000FF"/>
            <w:sz w:val="24"/>
            <w:szCs w:val="24"/>
            <w:u w:val="single"/>
            <w:shd w:val="clear" w:color="auto" w:fill="FFFFFF"/>
          </w:rPr>
          <w:t> </w:t>
        </w:r>
      </w:hyperlink>
      <w:r w:rsidR="009A38DB" w:rsidRPr="000D4C49">
        <w:rPr>
          <w:rFonts w:ascii="Verdana" w:hAnsi="Verdana"/>
          <w:sz w:val="24"/>
          <w:szCs w:val="24"/>
        </w:rPr>
        <w:t>.</w:t>
      </w:r>
    </w:p>
    <w:p w14:paraId="2B1561B0" w14:textId="77777777" w:rsidR="000D4C49" w:rsidRDefault="000D4C49" w:rsidP="000D4C49">
      <w:pPr>
        <w:rPr>
          <w:rFonts w:ascii="Verdana" w:hAnsi="Verdana"/>
          <w:sz w:val="24"/>
          <w:szCs w:val="24"/>
        </w:rPr>
      </w:pPr>
      <w:r w:rsidRPr="000D4C49">
        <w:rPr>
          <w:rFonts w:ascii="Verdana" w:hAnsi="Verdana"/>
          <w:b/>
          <w:bCs/>
          <w:sz w:val="24"/>
          <w:szCs w:val="24"/>
        </w:rPr>
        <w:t>3.</w:t>
      </w:r>
      <w:r>
        <w:rPr>
          <w:rFonts w:ascii="Verdana" w:hAnsi="Verdana"/>
          <w:sz w:val="24"/>
          <w:szCs w:val="24"/>
        </w:rPr>
        <w:t xml:space="preserve"> </w:t>
      </w:r>
      <w:r w:rsidR="009A38DB" w:rsidRPr="000D4C49">
        <w:rPr>
          <w:rFonts w:ascii="Verdana" w:hAnsi="Verdana"/>
          <w:sz w:val="24"/>
          <w:szCs w:val="24"/>
        </w:rPr>
        <w:t xml:space="preserve">Heeney MM, Hoppe CC, </w:t>
      </w:r>
      <w:proofErr w:type="spellStart"/>
      <w:r w:rsidR="009A38DB" w:rsidRPr="000D4C49">
        <w:rPr>
          <w:rFonts w:ascii="Verdana" w:hAnsi="Verdana"/>
          <w:sz w:val="24"/>
          <w:szCs w:val="24"/>
        </w:rPr>
        <w:t>Abboud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MR, </w:t>
      </w:r>
      <w:proofErr w:type="spellStart"/>
      <w:r w:rsidR="009A38DB" w:rsidRPr="000D4C49">
        <w:rPr>
          <w:rFonts w:ascii="Verdana" w:hAnsi="Verdana"/>
          <w:sz w:val="24"/>
          <w:szCs w:val="24"/>
        </w:rPr>
        <w:t>Inusa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B, </w:t>
      </w:r>
      <w:proofErr w:type="spellStart"/>
      <w:r w:rsidR="009A38DB" w:rsidRPr="000D4C49">
        <w:rPr>
          <w:rFonts w:ascii="Verdana" w:hAnsi="Verdana"/>
          <w:sz w:val="24"/>
          <w:szCs w:val="24"/>
        </w:rPr>
        <w:t>Kanter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J, </w:t>
      </w:r>
      <w:proofErr w:type="spellStart"/>
      <w:r w:rsidR="009A38DB" w:rsidRPr="000D4C49">
        <w:rPr>
          <w:rFonts w:ascii="Verdana" w:hAnsi="Verdana"/>
          <w:sz w:val="24"/>
          <w:szCs w:val="24"/>
        </w:rPr>
        <w:t>Ogutu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B, Brown PB, Heath LE, Jakubowski JA, Zhou C, </w:t>
      </w:r>
      <w:proofErr w:type="spellStart"/>
      <w:r w:rsidR="009A38DB" w:rsidRPr="000D4C49">
        <w:rPr>
          <w:rFonts w:ascii="Verdana" w:hAnsi="Verdana"/>
          <w:sz w:val="24"/>
          <w:szCs w:val="24"/>
        </w:rPr>
        <w:t>Zamoryakhin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D, </w:t>
      </w:r>
      <w:proofErr w:type="spellStart"/>
      <w:r w:rsidR="009A38DB" w:rsidRPr="000D4C49">
        <w:rPr>
          <w:rFonts w:ascii="Verdana" w:hAnsi="Verdana"/>
          <w:sz w:val="24"/>
          <w:szCs w:val="24"/>
        </w:rPr>
        <w:t>Agbenyega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T, </w:t>
      </w:r>
      <w:proofErr w:type="spellStart"/>
      <w:r w:rsidR="009A38DB" w:rsidRPr="000D4C49">
        <w:rPr>
          <w:rFonts w:ascii="Verdana" w:hAnsi="Verdana"/>
          <w:sz w:val="24"/>
          <w:szCs w:val="24"/>
        </w:rPr>
        <w:t>Colombatti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R, </w:t>
      </w:r>
      <w:proofErr w:type="spellStart"/>
      <w:r w:rsidR="009A38DB" w:rsidRPr="000D4C49">
        <w:rPr>
          <w:rFonts w:ascii="Verdana" w:hAnsi="Verdana"/>
          <w:sz w:val="24"/>
          <w:szCs w:val="24"/>
        </w:rPr>
        <w:t>Hassab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HM, </w:t>
      </w:r>
      <w:proofErr w:type="spellStart"/>
      <w:r w:rsidR="009A38DB" w:rsidRPr="000D4C49">
        <w:rPr>
          <w:rFonts w:ascii="Verdana" w:hAnsi="Verdana"/>
          <w:sz w:val="24"/>
          <w:szCs w:val="24"/>
        </w:rPr>
        <w:t>Nduba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VN, </w:t>
      </w:r>
      <w:proofErr w:type="spellStart"/>
      <w:r w:rsidR="009A38DB" w:rsidRPr="000D4C49">
        <w:rPr>
          <w:rFonts w:ascii="Verdana" w:hAnsi="Verdana"/>
          <w:sz w:val="24"/>
          <w:szCs w:val="24"/>
        </w:rPr>
        <w:t>Oyieko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JN, Robitaille N, </w:t>
      </w:r>
      <w:proofErr w:type="spellStart"/>
      <w:r w:rsidR="009A38DB" w:rsidRPr="000D4C49">
        <w:rPr>
          <w:rFonts w:ascii="Verdana" w:hAnsi="Verdana"/>
          <w:sz w:val="24"/>
          <w:szCs w:val="24"/>
        </w:rPr>
        <w:t>Segbefia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CI, Rees DC; DOVE Investigators. A Multinational Trial of Prasugrel for Sickle Cell Vaso-Occlusive Events. N </w:t>
      </w:r>
      <w:proofErr w:type="spellStart"/>
      <w:r w:rsidR="009A38DB" w:rsidRPr="000D4C49">
        <w:rPr>
          <w:rFonts w:ascii="Verdana" w:hAnsi="Verdana"/>
          <w:sz w:val="24"/>
          <w:szCs w:val="24"/>
        </w:rPr>
        <w:t>Engl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J Med. 2016 Feb 18;374(7):625-35. </w:t>
      </w:r>
      <w:hyperlink r:id="rId6" w:history="1">
        <w:r w:rsidRPr="000D4C49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http://dx.doi.org/10.1056/nejmoa1512021</w:t>
        </w:r>
        <w:r w:rsidRPr="000D4C49">
          <w:rPr>
            <w:rStyle w:val="apple-converted-space"/>
            <w:rFonts w:ascii="Helvetica" w:hAnsi="Helvetica"/>
            <w:color w:val="0000FF"/>
            <w:sz w:val="20"/>
            <w:szCs w:val="20"/>
            <w:u w:val="single"/>
            <w:shd w:val="clear" w:color="auto" w:fill="FFFFFF"/>
          </w:rPr>
          <w:t> </w:t>
        </w:r>
      </w:hyperlink>
      <w:r w:rsidRPr="000D4C49">
        <w:rPr>
          <w:rFonts w:ascii="Verdana" w:hAnsi="Verdana"/>
          <w:color w:val="0000FF"/>
          <w:sz w:val="24"/>
          <w:szCs w:val="24"/>
        </w:rPr>
        <w:t xml:space="preserve"> </w:t>
      </w:r>
    </w:p>
    <w:p w14:paraId="6E515F8C" w14:textId="77777777" w:rsidR="000319DA" w:rsidRPr="000D4C49" w:rsidRDefault="000D4C49" w:rsidP="000D4C49">
      <w:pPr>
        <w:rPr>
          <w:rFonts w:ascii="Verdana" w:hAnsi="Verdana"/>
          <w:sz w:val="24"/>
          <w:szCs w:val="24"/>
        </w:rPr>
      </w:pPr>
      <w:r w:rsidRPr="000D4C49">
        <w:rPr>
          <w:rFonts w:ascii="Verdana" w:hAnsi="Verdana"/>
          <w:b/>
          <w:bCs/>
          <w:sz w:val="24"/>
          <w:szCs w:val="24"/>
        </w:rPr>
        <w:t>4.</w:t>
      </w:r>
      <w:r>
        <w:rPr>
          <w:rFonts w:ascii="Verdana" w:hAnsi="Verdana"/>
          <w:sz w:val="24"/>
          <w:szCs w:val="24"/>
        </w:rPr>
        <w:t xml:space="preserve"> </w:t>
      </w:r>
      <w:r w:rsidR="009A38DB" w:rsidRPr="000D4C49">
        <w:rPr>
          <w:rFonts w:ascii="Verdana" w:hAnsi="Verdana"/>
          <w:sz w:val="24"/>
          <w:szCs w:val="24"/>
        </w:rPr>
        <w:t xml:space="preserve">Zachariah M, </w:t>
      </w:r>
      <w:r w:rsidR="009A38DB" w:rsidRPr="000D4C49">
        <w:rPr>
          <w:rFonts w:ascii="Verdana" w:hAnsi="Verdana"/>
          <w:b/>
          <w:bCs/>
          <w:sz w:val="24"/>
          <w:szCs w:val="24"/>
        </w:rPr>
        <w:t>Al Zadjali S</w:t>
      </w:r>
      <w:r w:rsidR="009A38DB" w:rsidRPr="000D4C49">
        <w:rPr>
          <w:rFonts w:ascii="Verdana" w:hAnsi="Verdana"/>
          <w:sz w:val="24"/>
          <w:szCs w:val="24"/>
        </w:rPr>
        <w:t xml:space="preserve">, Bashir W, </w:t>
      </w:r>
      <w:r w:rsidR="009A38DB" w:rsidRPr="000D4C49">
        <w:rPr>
          <w:rFonts w:ascii="Verdana" w:hAnsi="Verdana"/>
          <w:b/>
          <w:bCs/>
          <w:sz w:val="24"/>
          <w:szCs w:val="24"/>
        </w:rPr>
        <w:t xml:space="preserve">Al </w:t>
      </w:r>
      <w:proofErr w:type="spellStart"/>
      <w:r w:rsidR="009A38DB" w:rsidRPr="000D4C49">
        <w:rPr>
          <w:rFonts w:ascii="Verdana" w:hAnsi="Verdana"/>
          <w:b/>
          <w:bCs/>
          <w:sz w:val="24"/>
          <w:szCs w:val="24"/>
        </w:rPr>
        <w:t>Ambusaidi</w:t>
      </w:r>
      <w:proofErr w:type="spellEnd"/>
      <w:r w:rsidR="009A38DB" w:rsidRPr="000D4C49">
        <w:rPr>
          <w:rFonts w:ascii="Verdana" w:hAnsi="Verdana"/>
          <w:b/>
          <w:bCs/>
          <w:sz w:val="24"/>
          <w:szCs w:val="24"/>
        </w:rPr>
        <w:t xml:space="preserve"> R, </w:t>
      </w:r>
      <w:proofErr w:type="spellStart"/>
      <w:r w:rsidR="009A38DB" w:rsidRPr="000D4C49">
        <w:rPr>
          <w:rFonts w:ascii="Verdana" w:hAnsi="Verdana"/>
          <w:b/>
          <w:bCs/>
          <w:sz w:val="24"/>
          <w:szCs w:val="24"/>
        </w:rPr>
        <w:t>Misquith</w:t>
      </w:r>
      <w:proofErr w:type="spellEnd"/>
      <w:r w:rsidR="009A38DB" w:rsidRPr="000D4C49">
        <w:rPr>
          <w:rFonts w:ascii="Verdana" w:hAnsi="Verdana"/>
          <w:b/>
          <w:bCs/>
          <w:sz w:val="24"/>
          <w:szCs w:val="24"/>
        </w:rPr>
        <w:t xml:space="preserve"> R,</w:t>
      </w:r>
      <w:r w:rsidR="009A38DB" w:rsidRPr="000D4C49">
        <w:rPr>
          <w:rFonts w:ascii="Verdana" w:hAnsi="Verdana"/>
          <w:sz w:val="24"/>
          <w:szCs w:val="24"/>
        </w:rPr>
        <w:t xml:space="preserve"> </w:t>
      </w:r>
      <w:proofErr w:type="spellStart"/>
      <w:r w:rsidR="009A38DB" w:rsidRPr="000D4C49">
        <w:rPr>
          <w:rFonts w:ascii="Verdana" w:hAnsi="Verdana"/>
          <w:sz w:val="24"/>
          <w:szCs w:val="24"/>
        </w:rPr>
        <w:t>Wali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Y, </w:t>
      </w:r>
      <w:r w:rsidR="009A38DB" w:rsidRPr="000D4C49">
        <w:rPr>
          <w:rFonts w:ascii="Verdana" w:hAnsi="Verdana"/>
          <w:b/>
          <w:bCs/>
          <w:sz w:val="24"/>
          <w:szCs w:val="24"/>
        </w:rPr>
        <w:t>Pathare A</w:t>
      </w:r>
      <w:r w:rsidR="009A38DB" w:rsidRPr="000D4C49">
        <w:rPr>
          <w:rFonts w:ascii="Verdana" w:hAnsi="Verdana"/>
          <w:sz w:val="24"/>
          <w:szCs w:val="24"/>
        </w:rPr>
        <w:t xml:space="preserve">. Impact of Mannose-Binding Protein Gene Polymorphisms in Omani Sickle Cell Disease Patients. </w:t>
      </w:r>
      <w:proofErr w:type="spellStart"/>
      <w:r w:rsidR="009A38DB" w:rsidRPr="000D4C49">
        <w:rPr>
          <w:rFonts w:ascii="Verdana" w:hAnsi="Verdana"/>
          <w:sz w:val="24"/>
          <w:szCs w:val="24"/>
        </w:rPr>
        <w:t>Mediterr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J </w:t>
      </w:r>
      <w:proofErr w:type="spellStart"/>
      <w:r w:rsidR="009A38DB" w:rsidRPr="000D4C49">
        <w:rPr>
          <w:rFonts w:ascii="Verdana" w:hAnsi="Verdana"/>
          <w:sz w:val="24"/>
          <w:szCs w:val="24"/>
        </w:rPr>
        <w:t>Hematol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Infect Dis. 2016 Feb 15;8(1</w:t>
      </w:r>
      <w:proofErr w:type="gramStart"/>
      <w:r w:rsidR="009A38DB" w:rsidRPr="000D4C49">
        <w:rPr>
          <w:rFonts w:ascii="Verdana" w:hAnsi="Verdana"/>
          <w:sz w:val="24"/>
          <w:szCs w:val="24"/>
        </w:rPr>
        <w:t>):e</w:t>
      </w:r>
      <w:proofErr w:type="gramEnd"/>
      <w:r w:rsidR="009A38DB" w:rsidRPr="000D4C49">
        <w:rPr>
          <w:rFonts w:ascii="Verdana" w:hAnsi="Verdana"/>
          <w:sz w:val="24"/>
          <w:szCs w:val="24"/>
        </w:rPr>
        <w:t xml:space="preserve">2016013. </w:t>
      </w:r>
      <w:hyperlink r:id="rId7" w:history="1">
        <w:r w:rsidRPr="000D4C49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http://dx.doi.org/10.4084/mjhid.2016.013</w:t>
        </w:r>
        <w:r w:rsidRPr="000D4C49">
          <w:rPr>
            <w:rStyle w:val="apple-converted-space"/>
            <w:rFonts w:ascii="Verdana" w:hAnsi="Verdana"/>
            <w:color w:val="067499"/>
            <w:sz w:val="24"/>
            <w:szCs w:val="24"/>
            <w:u w:val="single"/>
            <w:shd w:val="clear" w:color="auto" w:fill="FFFFFF"/>
          </w:rPr>
          <w:t> </w:t>
        </w:r>
      </w:hyperlink>
    </w:p>
    <w:p w14:paraId="42CB6A0E" w14:textId="77777777" w:rsidR="009A38DB" w:rsidRPr="000D4C49" w:rsidRDefault="000D4C49" w:rsidP="000D4C49">
      <w:pPr>
        <w:rPr>
          <w:rFonts w:ascii="Verdana" w:hAnsi="Verdana"/>
          <w:sz w:val="24"/>
          <w:szCs w:val="24"/>
        </w:rPr>
      </w:pPr>
      <w:r w:rsidRPr="000D4C49">
        <w:rPr>
          <w:rFonts w:ascii="Verdana" w:hAnsi="Verdana"/>
          <w:b/>
          <w:bCs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. </w:t>
      </w:r>
      <w:r w:rsidR="009A38DB" w:rsidRPr="000D4C49">
        <w:rPr>
          <w:rFonts w:ascii="Verdana" w:hAnsi="Verdana"/>
          <w:sz w:val="24"/>
          <w:szCs w:val="24"/>
        </w:rPr>
        <w:t>Al-</w:t>
      </w:r>
      <w:proofErr w:type="spellStart"/>
      <w:r w:rsidR="009A38DB" w:rsidRPr="000D4C49">
        <w:rPr>
          <w:rFonts w:ascii="Verdana" w:hAnsi="Verdana"/>
          <w:sz w:val="24"/>
          <w:szCs w:val="24"/>
        </w:rPr>
        <w:t>Dughaishi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T, Al </w:t>
      </w:r>
      <w:proofErr w:type="spellStart"/>
      <w:r w:rsidR="009A38DB" w:rsidRPr="000D4C49">
        <w:rPr>
          <w:rFonts w:ascii="Verdana" w:hAnsi="Verdana"/>
          <w:sz w:val="24"/>
          <w:szCs w:val="24"/>
        </w:rPr>
        <w:t>Harrasi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Y, Al-</w:t>
      </w:r>
      <w:proofErr w:type="spellStart"/>
      <w:r w:rsidR="009A38DB" w:rsidRPr="000D4C49">
        <w:rPr>
          <w:rFonts w:ascii="Verdana" w:hAnsi="Verdana"/>
          <w:sz w:val="24"/>
          <w:szCs w:val="24"/>
        </w:rPr>
        <w:t>Duhli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M, Al-</w:t>
      </w:r>
      <w:proofErr w:type="spellStart"/>
      <w:r w:rsidR="009A38DB" w:rsidRPr="000D4C49">
        <w:rPr>
          <w:rFonts w:ascii="Verdana" w:hAnsi="Verdana"/>
          <w:sz w:val="24"/>
          <w:szCs w:val="24"/>
        </w:rPr>
        <w:t>Rubkhi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I, Al-</w:t>
      </w:r>
      <w:proofErr w:type="spellStart"/>
      <w:r w:rsidR="009A38DB" w:rsidRPr="000D4C49">
        <w:rPr>
          <w:rFonts w:ascii="Verdana" w:hAnsi="Verdana"/>
          <w:sz w:val="24"/>
          <w:szCs w:val="24"/>
        </w:rPr>
        <w:t>Riyami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N, </w:t>
      </w:r>
      <w:r w:rsidR="009A38DB" w:rsidRPr="000D4C49">
        <w:rPr>
          <w:rFonts w:ascii="Verdana" w:hAnsi="Verdana"/>
          <w:b/>
          <w:bCs/>
          <w:sz w:val="24"/>
          <w:szCs w:val="24"/>
        </w:rPr>
        <w:t xml:space="preserve">Al </w:t>
      </w:r>
      <w:proofErr w:type="spellStart"/>
      <w:r w:rsidR="009A38DB" w:rsidRPr="000D4C49">
        <w:rPr>
          <w:rFonts w:ascii="Verdana" w:hAnsi="Verdana"/>
          <w:b/>
          <w:bCs/>
          <w:sz w:val="24"/>
          <w:szCs w:val="24"/>
        </w:rPr>
        <w:t>Riyami</w:t>
      </w:r>
      <w:proofErr w:type="spellEnd"/>
      <w:r w:rsidR="009A38DB" w:rsidRPr="000D4C49">
        <w:rPr>
          <w:rFonts w:ascii="Verdana" w:hAnsi="Verdana"/>
          <w:b/>
          <w:bCs/>
          <w:sz w:val="24"/>
          <w:szCs w:val="24"/>
        </w:rPr>
        <w:t xml:space="preserve"> A, Pathare AV, </w:t>
      </w:r>
      <w:r w:rsidR="009A38DB" w:rsidRPr="000D4C49">
        <w:rPr>
          <w:rFonts w:ascii="Verdana" w:hAnsi="Verdana"/>
          <w:sz w:val="24"/>
          <w:szCs w:val="24"/>
        </w:rPr>
        <w:t xml:space="preserve">Gowri V. Red Cell Alloimmunization to Rhesus Antigen Among Pregnant Women Attending a Tertiary Care Hospital in Oman. Oman Med J. 2016 Jan;31(1):77-80. </w:t>
      </w:r>
      <w:r w:rsidRPr="000D4C49">
        <w:rPr>
          <w:rFonts w:ascii="Verdana" w:hAnsi="Verdana"/>
          <w:color w:val="0000FF"/>
          <w:sz w:val="24"/>
          <w:szCs w:val="24"/>
          <w:u w:val="single"/>
        </w:rPr>
        <w:t>http://dx.doi.org/</w:t>
      </w:r>
      <w:r w:rsidR="009A38DB" w:rsidRPr="000D4C49">
        <w:rPr>
          <w:rFonts w:ascii="Verdana" w:hAnsi="Verdana"/>
          <w:color w:val="0000FF"/>
          <w:sz w:val="24"/>
          <w:szCs w:val="24"/>
          <w:u w:val="single"/>
        </w:rPr>
        <w:t>10.5001/omj.2016.15.</w:t>
      </w:r>
    </w:p>
    <w:p w14:paraId="10B08004" w14:textId="77777777" w:rsidR="009A38DB" w:rsidRDefault="000D4C49" w:rsidP="000D4C49">
      <w:pPr>
        <w:rPr>
          <w:rStyle w:val="apple-converted-space"/>
          <w:rFonts w:ascii="Verdana" w:hAnsi="Verdana"/>
          <w:color w:val="067499"/>
          <w:sz w:val="24"/>
          <w:szCs w:val="24"/>
          <w:u w:val="single"/>
          <w:shd w:val="clear" w:color="auto" w:fill="FFFFFF"/>
        </w:rPr>
      </w:pPr>
      <w:r w:rsidRPr="000D4C49">
        <w:rPr>
          <w:rFonts w:ascii="Verdana" w:hAnsi="Verdana"/>
          <w:b/>
          <w:bCs/>
          <w:sz w:val="24"/>
          <w:szCs w:val="24"/>
        </w:rPr>
        <w:t>6</w:t>
      </w:r>
      <w:r>
        <w:rPr>
          <w:rFonts w:ascii="Verdana" w:hAnsi="Verdana"/>
          <w:sz w:val="24"/>
          <w:szCs w:val="24"/>
        </w:rPr>
        <w:t xml:space="preserve">. </w:t>
      </w:r>
      <w:r w:rsidR="009A38DB" w:rsidRPr="000D4C49">
        <w:rPr>
          <w:rFonts w:ascii="Verdana" w:hAnsi="Verdana"/>
          <w:sz w:val="24"/>
          <w:szCs w:val="24"/>
        </w:rPr>
        <w:t xml:space="preserve">Pathare NA, </w:t>
      </w:r>
      <w:proofErr w:type="spellStart"/>
      <w:r w:rsidR="009A38DB" w:rsidRPr="000D4C49">
        <w:rPr>
          <w:rFonts w:ascii="Verdana" w:hAnsi="Verdana"/>
          <w:sz w:val="24"/>
          <w:szCs w:val="24"/>
        </w:rPr>
        <w:t>Asogan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H, </w:t>
      </w:r>
      <w:proofErr w:type="spellStart"/>
      <w:r w:rsidR="009A38DB" w:rsidRPr="000D4C49">
        <w:rPr>
          <w:rFonts w:ascii="Verdana" w:hAnsi="Verdana"/>
          <w:sz w:val="24"/>
          <w:szCs w:val="24"/>
        </w:rPr>
        <w:t>Tejani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S, Al </w:t>
      </w:r>
      <w:proofErr w:type="spellStart"/>
      <w:r w:rsidR="009A38DB" w:rsidRPr="000D4C49">
        <w:rPr>
          <w:rFonts w:ascii="Verdana" w:hAnsi="Verdana"/>
          <w:sz w:val="24"/>
          <w:szCs w:val="24"/>
        </w:rPr>
        <w:t>Mahruqi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G, Al Fakhri S, </w:t>
      </w:r>
      <w:proofErr w:type="spellStart"/>
      <w:r w:rsidR="009A38DB" w:rsidRPr="000D4C49">
        <w:rPr>
          <w:rFonts w:ascii="Verdana" w:hAnsi="Verdana"/>
          <w:sz w:val="24"/>
          <w:szCs w:val="24"/>
        </w:rPr>
        <w:t>Zafarulla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 R, </w:t>
      </w:r>
      <w:r w:rsidR="009A38DB" w:rsidRPr="000D4C49">
        <w:rPr>
          <w:rFonts w:ascii="Verdana" w:hAnsi="Verdana"/>
          <w:b/>
          <w:bCs/>
          <w:sz w:val="24"/>
          <w:szCs w:val="24"/>
        </w:rPr>
        <w:t>Pathare AV</w:t>
      </w:r>
      <w:r w:rsidR="009A38DB" w:rsidRPr="000D4C49">
        <w:rPr>
          <w:rFonts w:ascii="Verdana" w:hAnsi="Verdana"/>
          <w:sz w:val="24"/>
          <w:szCs w:val="24"/>
        </w:rPr>
        <w:t xml:space="preserve">. Prevalence of methicillin resistant Staphylococcus aureus [MRSA] colonization or carriage among health-care workers. J Infect Public Health. 2016 Jan 4. </w:t>
      </w:r>
      <w:proofErr w:type="spellStart"/>
      <w:r w:rsidR="009A38DB" w:rsidRPr="000D4C49">
        <w:rPr>
          <w:rFonts w:ascii="Verdana" w:hAnsi="Verdana"/>
          <w:sz w:val="24"/>
          <w:szCs w:val="24"/>
        </w:rPr>
        <w:t>pii</w:t>
      </w:r>
      <w:proofErr w:type="spellEnd"/>
      <w:r w:rsidR="009A38DB" w:rsidRPr="000D4C49">
        <w:rPr>
          <w:rFonts w:ascii="Verdana" w:hAnsi="Verdana"/>
          <w:sz w:val="24"/>
          <w:szCs w:val="24"/>
        </w:rPr>
        <w:t xml:space="preserve">: S1876-0341(15)00223-3. </w:t>
      </w:r>
      <w:hyperlink r:id="rId8" w:history="1">
        <w:r w:rsidRPr="000D4C49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http://dx.doi.org/10.1016/j.jiph.2015.12.004</w:t>
        </w:r>
        <w:r w:rsidRPr="000D4C49">
          <w:rPr>
            <w:rStyle w:val="apple-converted-space"/>
            <w:rFonts w:ascii="Verdana" w:hAnsi="Verdana"/>
            <w:color w:val="067499"/>
            <w:sz w:val="24"/>
            <w:szCs w:val="24"/>
            <w:u w:val="single"/>
            <w:shd w:val="clear" w:color="auto" w:fill="FFFFFF"/>
          </w:rPr>
          <w:t> </w:t>
        </w:r>
      </w:hyperlink>
    </w:p>
    <w:p w14:paraId="5E2BE6A1" w14:textId="3B8E6579" w:rsidR="00793BCC" w:rsidRDefault="00EF7618" w:rsidP="003D5E3A">
      <w:pPr>
        <w:rPr>
          <w:rStyle w:val="apple-converted-space"/>
          <w:rFonts w:ascii="Verdana" w:hAnsi="Verdana"/>
          <w:sz w:val="24"/>
          <w:szCs w:val="24"/>
          <w:shd w:val="clear" w:color="auto" w:fill="FFFFFF"/>
        </w:rPr>
      </w:pPr>
      <w:r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7. 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De 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Sanctis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V, Soliman AT, 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Elsedfy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H, 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Yaarubi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SA, 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Skordis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N, 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Khater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D, El 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Kholy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M, 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Stoeva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I, 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Fiscina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B, 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Angastiniotis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M, </w:t>
      </w:r>
      <w:proofErr w:type="spellStart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Daar</w:t>
      </w:r>
      <w:proofErr w:type="spellEnd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 S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, 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Kattamis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C.</w:t>
      </w:r>
      <w:r w:rsidR="00B7328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The ICET-A Recommendations for the Diagnosis and Management of Disturbances of 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lastRenderedPageBreak/>
        <w:t>Glucose Homeostasis in Thalassemia Major Patients.</w:t>
      </w:r>
      <w:r w:rsid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Mediterr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J 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Hematol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Infect Dis. 2016 Oct 28;8(1</w:t>
      </w:r>
      <w:proofErr w:type="gram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):e</w:t>
      </w:r>
      <w:proofErr w:type="gram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2016058.</w:t>
      </w:r>
      <w:r w:rsidR="00B73282" w:rsidRPr="00B73282">
        <w:t xml:space="preserve"> </w:t>
      </w:r>
      <w:hyperlink r:id="rId9" w:history="1">
        <w:r w:rsidR="00B73282" w:rsidRPr="00B73282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http://dx.doi.org/10.4084/MJHID.2016.058</w:t>
        </w:r>
      </w:hyperlink>
    </w:p>
    <w:p w14:paraId="553B8BC6" w14:textId="77777777" w:rsidR="003D5E3A" w:rsidRDefault="003D5E3A" w:rsidP="003D5E3A">
      <w:pPr>
        <w:rPr>
          <w:rStyle w:val="apple-converted-space"/>
          <w:rFonts w:ascii="Verdana" w:hAnsi="Verdana"/>
          <w:sz w:val="24"/>
          <w:szCs w:val="24"/>
          <w:shd w:val="clear" w:color="auto" w:fill="FFFFFF"/>
        </w:rPr>
      </w:pPr>
    </w:p>
    <w:p w14:paraId="686E0A3D" w14:textId="28E4ED4C" w:rsidR="003D5E3A" w:rsidRDefault="00EF7618" w:rsidP="003D5E3A">
      <w:pPr>
        <w:rPr>
          <w:rStyle w:val="apple-converted-space"/>
          <w:rFonts w:ascii="Verdana" w:hAnsi="Verdana"/>
          <w:sz w:val="24"/>
          <w:szCs w:val="24"/>
          <w:shd w:val="clear" w:color="auto" w:fill="FFFFFF"/>
        </w:rPr>
      </w:pPr>
      <w:r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8. </w:t>
      </w:r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Al-</w:t>
      </w:r>
      <w:proofErr w:type="spellStart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Riyami</w:t>
      </w:r>
      <w:proofErr w:type="spellEnd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 AZ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, Al-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Ghafri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N, </w:t>
      </w:r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Zia F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, </w:t>
      </w:r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Al-</w:t>
      </w:r>
      <w:proofErr w:type="spellStart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Huneini</w:t>
      </w:r>
      <w:proofErr w:type="spellEnd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 M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, Al-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Rawas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AH, </w:t>
      </w:r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Al-</w:t>
      </w:r>
      <w:proofErr w:type="spellStart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Kindi</w:t>
      </w:r>
      <w:proofErr w:type="spellEnd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 S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, Jose S, </w:t>
      </w:r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Al-</w:t>
      </w:r>
      <w:proofErr w:type="spellStart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Khabori</w:t>
      </w:r>
      <w:proofErr w:type="spellEnd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 M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, Al-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Sabti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H, </w:t>
      </w:r>
      <w:proofErr w:type="spellStart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Daar</w:t>
      </w:r>
      <w:proofErr w:type="spellEnd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 S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.</w:t>
      </w:r>
      <w:r w:rsid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First Implementation of Transfusion Consent Policy in Oman: Audit of compliance from a tertiary care university hospital.</w:t>
      </w:r>
      <w:r w:rsid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Sultan Qaboos 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Univ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Med J. 2016 Aug;16(3</w:t>
      </w:r>
      <w:proofErr w:type="gram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):e</w:t>
      </w:r>
      <w:proofErr w:type="gram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293-7.</w:t>
      </w:r>
      <w:r w:rsidR="00B73282" w:rsidRPr="00B73282">
        <w:t xml:space="preserve"> </w:t>
      </w:r>
      <w:hyperlink r:id="rId10" w:history="1">
        <w:r w:rsidR="00B73282" w:rsidRPr="00B73282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http://dx.doi.org/10.18295/squmj.2016.16.03.005</w:t>
        </w:r>
      </w:hyperlink>
    </w:p>
    <w:p w14:paraId="608BA1CC" w14:textId="3B9DB026" w:rsidR="003D5E3A" w:rsidRDefault="00EF7618" w:rsidP="003D5E3A">
      <w:pPr>
        <w:rPr>
          <w:rStyle w:val="apple-converted-space"/>
          <w:rFonts w:ascii="Verdana" w:hAnsi="Verdana"/>
          <w:sz w:val="24"/>
          <w:szCs w:val="24"/>
          <w:shd w:val="clear" w:color="auto" w:fill="FFFFFF"/>
        </w:rPr>
      </w:pPr>
      <w:r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9. </w:t>
      </w:r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Al-</w:t>
      </w:r>
      <w:proofErr w:type="spellStart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Riyami</w:t>
      </w:r>
      <w:proofErr w:type="spellEnd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 AZ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, Al-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Marshoodi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I, </w:t>
      </w:r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Zia F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, </w:t>
      </w:r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Al-</w:t>
      </w:r>
      <w:proofErr w:type="spellStart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Huneini</w:t>
      </w:r>
      <w:proofErr w:type="spellEnd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 M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, Al-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Rawas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AH, Jose S, </w:t>
      </w:r>
      <w:proofErr w:type="spellStart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Daar</w:t>
      </w:r>
      <w:proofErr w:type="spellEnd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 S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, </w:t>
      </w:r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Al-</w:t>
      </w:r>
      <w:proofErr w:type="spellStart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Khabori</w:t>
      </w:r>
      <w:proofErr w:type="spellEnd"/>
      <w:r w:rsidR="003D5E3A" w:rsidRPr="003D5E3A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 M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, Al-</w:t>
      </w:r>
      <w:proofErr w:type="spellStart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Sabti</w:t>
      </w:r>
      <w:proofErr w:type="spellEnd"/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H.</w:t>
      </w:r>
      <w:r w:rsid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Transfusion Consent in Oman: Physicians' Perception at a Tertiary Care University Hospital.</w:t>
      </w:r>
      <w:r w:rsid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</w:t>
      </w:r>
      <w:r w:rsidR="003D5E3A" w:rsidRPr="003D5E3A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Oman Med J. 2016 Jul;31(4):253-7.</w:t>
      </w:r>
      <w:r w:rsidR="00B73282" w:rsidRPr="00B73282">
        <w:t xml:space="preserve"> </w:t>
      </w:r>
      <w:hyperlink r:id="rId11" w:history="1">
        <w:r w:rsidR="00B73282" w:rsidRPr="00B73282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http://dx.doi.org/10.5001/omj.2016.50</w:t>
        </w:r>
      </w:hyperlink>
    </w:p>
    <w:p w14:paraId="67CAEE91" w14:textId="4B4B28CB" w:rsidR="003D5E3A" w:rsidRDefault="00EF7618" w:rsidP="00EF7618">
      <w:pPr>
        <w:rPr>
          <w:rStyle w:val="apple-converted-space"/>
          <w:rFonts w:ascii="Verdana" w:hAnsi="Verdana"/>
          <w:sz w:val="24"/>
          <w:szCs w:val="24"/>
          <w:shd w:val="clear" w:color="auto" w:fill="FFFFFF"/>
        </w:rPr>
      </w:pPr>
      <w:r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10. 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Al-Hosni ZS, </w:t>
      </w:r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Al-</w:t>
      </w:r>
      <w:proofErr w:type="spellStart"/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Khabori</w:t>
      </w:r>
      <w:proofErr w:type="spellEnd"/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 M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, </w:t>
      </w:r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Al-</w:t>
      </w:r>
      <w:proofErr w:type="spellStart"/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Mamari</w:t>
      </w:r>
      <w:proofErr w:type="spellEnd"/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 S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, </w:t>
      </w:r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Al-</w:t>
      </w:r>
      <w:proofErr w:type="spellStart"/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Qasabi</w:t>
      </w:r>
      <w:proofErr w:type="spellEnd"/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 J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, </w:t>
      </w:r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Davis H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, Al-</w:t>
      </w:r>
      <w:proofErr w:type="spellStart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Lawati</w:t>
      </w:r>
      <w:proofErr w:type="spellEnd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H, </w:t>
      </w:r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Al-</w:t>
      </w:r>
      <w:proofErr w:type="spellStart"/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Riyami</w:t>
      </w:r>
      <w:proofErr w:type="spellEnd"/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 AZ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.</w:t>
      </w:r>
      <w:r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Reproducibility of Manual Platelet Estimation Following Automated Low Platelet Counts.</w:t>
      </w:r>
      <w:r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Oman Med J. 2016 Nov;31(6):409-413.</w:t>
      </w:r>
      <w:r w:rsidR="00B73282" w:rsidRPr="00B73282">
        <w:t xml:space="preserve"> </w:t>
      </w:r>
      <w:hyperlink r:id="rId12" w:history="1">
        <w:r w:rsidR="00B73282" w:rsidRPr="00B73282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http://dx.doi.org/10.5001/omj.2016.83</w:t>
        </w:r>
      </w:hyperlink>
    </w:p>
    <w:p w14:paraId="6F2F1A3F" w14:textId="494C20EE" w:rsidR="00EF7618" w:rsidRDefault="00EF7618" w:rsidP="00EF7618">
      <w:pPr>
        <w:rPr>
          <w:rStyle w:val="apple-converted-space"/>
          <w:rFonts w:ascii="Verdana" w:hAnsi="Verdana"/>
          <w:sz w:val="24"/>
          <w:szCs w:val="24"/>
          <w:shd w:val="clear" w:color="auto" w:fill="FFFFFF"/>
        </w:rPr>
      </w:pPr>
      <w:r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11. </w:t>
      </w:r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Al-</w:t>
      </w:r>
      <w:proofErr w:type="spellStart"/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Riyami</w:t>
      </w:r>
      <w:proofErr w:type="spellEnd"/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 AZ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, </w:t>
      </w:r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Al-Farsi K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, </w:t>
      </w:r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Al-</w:t>
      </w:r>
      <w:proofErr w:type="spellStart"/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Khabori</w:t>
      </w:r>
      <w:proofErr w:type="spellEnd"/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 M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, </w:t>
      </w:r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Al-</w:t>
      </w:r>
      <w:proofErr w:type="spellStart"/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Huneini</w:t>
      </w:r>
      <w:proofErr w:type="spellEnd"/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 xml:space="preserve"> M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, Al-</w:t>
      </w:r>
      <w:proofErr w:type="spellStart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Hadabbi</w:t>
      </w:r>
      <w:proofErr w:type="spellEnd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I.</w:t>
      </w:r>
      <w:r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Unusual Indolent Course of a Chronic Active Epstein-Barr Virus-Associated Natural Killer Cell Lymphoproliferative Disorder.</w:t>
      </w:r>
      <w:r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Sultan Qaboos </w:t>
      </w:r>
      <w:proofErr w:type="spellStart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Univ</w:t>
      </w:r>
      <w:proofErr w:type="spellEnd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Med J. 2016 May;16(2</w:t>
      </w:r>
      <w:proofErr w:type="gramStart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):e</w:t>
      </w:r>
      <w:proofErr w:type="gramEnd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230-3.</w:t>
      </w:r>
      <w:r w:rsidR="00B73282" w:rsidRPr="00B73282">
        <w:t xml:space="preserve"> </w:t>
      </w:r>
      <w:hyperlink r:id="rId13" w:history="1">
        <w:r w:rsidR="00B73282" w:rsidRPr="00B73282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http://dx.doi.org/10.18295/squmj.2016.16.02.015</w:t>
        </w:r>
      </w:hyperlink>
    </w:p>
    <w:p w14:paraId="7D0EE077" w14:textId="33DFA187" w:rsidR="00EF7618" w:rsidRDefault="00EF7618" w:rsidP="00F16DFC">
      <w:pPr>
        <w:rPr>
          <w:rStyle w:val="apple-converted-space"/>
          <w:rFonts w:ascii="Verdana" w:hAnsi="Verdana"/>
          <w:sz w:val="24"/>
          <w:szCs w:val="24"/>
          <w:shd w:val="clear" w:color="auto" w:fill="FFFFFF"/>
        </w:rPr>
      </w:pPr>
      <w:r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1</w:t>
      </w:r>
      <w:r w:rsidR="00F16DFC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2</w:t>
      </w:r>
      <w:r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. 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Al-</w:t>
      </w:r>
      <w:proofErr w:type="spellStart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Riyami</w:t>
      </w:r>
      <w:proofErr w:type="spellEnd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YM, </w:t>
      </w:r>
      <w:proofErr w:type="spellStart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Bakathir</w:t>
      </w:r>
      <w:proofErr w:type="spellEnd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A, </w:t>
      </w:r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Al-Farsi K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, Al-</w:t>
      </w:r>
      <w:proofErr w:type="spellStart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Azri</w:t>
      </w:r>
      <w:proofErr w:type="spellEnd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F.</w:t>
      </w:r>
      <w:r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Relapse of Multiple Myeloma Presenting as Lower Lip Numbness.</w:t>
      </w:r>
      <w:r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Sultan Qaboos </w:t>
      </w:r>
      <w:proofErr w:type="spellStart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Univ</w:t>
      </w:r>
      <w:proofErr w:type="spellEnd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Med J. 2016 Nov;16(4</w:t>
      </w:r>
      <w:proofErr w:type="gramStart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):e</w:t>
      </w:r>
      <w:proofErr w:type="gramEnd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500-e503</w:t>
      </w:r>
      <w:r w:rsidR="00B73282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.</w:t>
      </w:r>
      <w:r w:rsidR="00B73282" w:rsidRPr="00B73282">
        <w:t xml:space="preserve"> </w:t>
      </w:r>
      <w:hyperlink r:id="rId14" w:history="1">
        <w:r w:rsidR="00B73282" w:rsidRPr="000546C0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http://dx.doi.org/10.18295/squmj.2016.16.04.017</w:t>
        </w:r>
      </w:hyperlink>
    </w:p>
    <w:p w14:paraId="3EC61F8E" w14:textId="5E1605BF" w:rsidR="00EF7618" w:rsidRDefault="00EF7618" w:rsidP="00F16DFC">
      <w:pPr>
        <w:rPr>
          <w:rStyle w:val="apple-converted-space"/>
          <w:rFonts w:ascii="Verdana" w:hAnsi="Verdana"/>
          <w:sz w:val="24"/>
          <w:szCs w:val="24"/>
          <w:shd w:val="clear" w:color="auto" w:fill="FFFFFF"/>
        </w:rPr>
      </w:pPr>
      <w:r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1</w:t>
      </w:r>
      <w:r w:rsidR="00F16DFC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3</w:t>
      </w:r>
      <w:r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. 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Al-</w:t>
      </w:r>
      <w:proofErr w:type="spellStart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Tamemi</w:t>
      </w:r>
      <w:proofErr w:type="spellEnd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S, Naseem SU, Al-</w:t>
      </w:r>
      <w:proofErr w:type="spellStart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Siyabi</w:t>
      </w:r>
      <w:proofErr w:type="spellEnd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N, El-</w:t>
      </w:r>
      <w:proofErr w:type="spellStart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Nour</w:t>
      </w:r>
      <w:proofErr w:type="spellEnd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I, Al-</w:t>
      </w:r>
      <w:proofErr w:type="spellStart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Rawas</w:t>
      </w:r>
      <w:proofErr w:type="spellEnd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A, </w:t>
      </w:r>
      <w:r w:rsidRPr="00EF7618">
        <w:rPr>
          <w:rStyle w:val="apple-converted-space"/>
          <w:rFonts w:ascii="Verdana" w:hAnsi="Verdana"/>
          <w:b/>
          <w:bCs/>
          <w:sz w:val="24"/>
          <w:szCs w:val="24"/>
          <w:shd w:val="clear" w:color="auto" w:fill="FFFFFF"/>
        </w:rPr>
        <w:t>Dennison D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Primary Immunodeficiency Diseases in Oman: 10-Year Experience in a Tertiary Care Hospital.</w:t>
      </w:r>
      <w:r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</w:t>
      </w:r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J </w:t>
      </w:r>
      <w:proofErr w:type="spellStart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>Clin</w:t>
      </w:r>
      <w:proofErr w:type="spellEnd"/>
      <w:r w:rsidRPr="00EF7618">
        <w:rPr>
          <w:rStyle w:val="apple-converted-space"/>
          <w:rFonts w:ascii="Verdana" w:hAnsi="Verdana"/>
          <w:sz w:val="24"/>
          <w:szCs w:val="24"/>
          <w:shd w:val="clear" w:color="auto" w:fill="FFFFFF"/>
        </w:rPr>
        <w:t xml:space="preserve"> Immunol. 2016 Nov;36(8):785-792.</w:t>
      </w:r>
      <w:r w:rsidR="000546C0" w:rsidRPr="000546C0">
        <w:t xml:space="preserve"> </w:t>
      </w:r>
      <w:hyperlink r:id="rId15" w:history="1">
        <w:r w:rsidR="000546C0" w:rsidRPr="000546C0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http://dx.doi.org/10.1007/s10875-016-0337-7</w:t>
        </w:r>
      </w:hyperlink>
    </w:p>
    <w:p w14:paraId="1DAB6B54" w14:textId="77777777" w:rsidR="00793BCC" w:rsidRPr="000D4C49" w:rsidRDefault="00793BCC" w:rsidP="000D4C49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793BCC" w:rsidRPr="000D4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85"/>
    <w:rsid w:val="000319DA"/>
    <w:rsid w:val="000546C0"/>
    <w:rsid w:val="000D4C49"/>
    <w:rsid w:val="003D5E3A"/>
    <w:rsid w:val="003F3111"/>
    <w:rsid w:val="0068528D"/>
    <w:rsid w:val="00793BCC"/>
    <w:rsid w:val="008454AA"/>
    <w:rsid w:val="008B4985"/>
    <w:rsid w:val="009A38DB"/>
    <w:rsid w:val="00B73282"/>
    <w:rsid w:val="00E32190"/>
    <w:rsid w:val="00EF7618"/>
    <w:rsid w:val="00F1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8D9F7"/>
  <w15:chartTrackingRefBased/>
  <w15:docId w15:val="{D7959A9F-0FEA-4A3A-A745-66E1B7A2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C4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4C49"/>
  </w:style>
  <w:style w:type="table" w:styleId="TableGrid">
    <w:name w:val="Table Grid"/>
    <w:basedOn w:val="TableNormal"/>
    <w:uiPriority w:val="39"/>
    <w:rsid w:val="00793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32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01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71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5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76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7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92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6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93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52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54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06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953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119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293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62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9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jiph.2015.12.004" TargetMode="External"/><Relationship Id="rId13" Type="http://schemas.openxmlformats.org/officeDocument/2006/relationships/hyperlink" Target="http://dx.doi.org/10.18295/squmj.2016.16.02.0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x.doi.org/10.4084/mjhid.2016.013" TargetMode="External"/><Relationship Id="rId12" Type="http://schemas.openxmlformats.org/officeDocument/2006/relationships/hyperlink" Target="http://dx.doi.org/10.5001/omj.2016.8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x.doi.org/10.1056/nejmoa1512021" TargetMode="External"/><Relationship Id="rId11" Type="http://schemas.openxmlformats.org/officeDocument/2006/relationships/hyperlink" Target="http://dx.doi.org/10.5001/omj.2016.50" TargetMode="External"/><Relationship Id="rId5" Type="http://schemas.openxmlformats.org/officeDocument/2006/relationships/hyperlink" Target="http://dx.doi.org/10.18295/squmj.2016.16.02.015" TargetMode="External"/><Relationship Id="rId15" Type="http://schemas.openxmlformats.org/officeDocument/2006/relationships/hyperlink" Target="http://dx.doi.org/10.1007/s10875-016-0337-7" TargetMode="External"/><Relationship Id="rId10" Type="http://schemas.openxmlformats.org/officeDocument/2006/relationships/hyperlink" Target="http://dx.doi.org/10.18295/squmj.2016.16.03.005" TargetMode="External"/><Relationship Id="rId4" Type="http://schemas.openxmlformats.org/officeDocument/2006/relationships/hyperlink" Target="http://dx.doi.org/10.18295/squmj.2016.16.01.014" TargetMode="External"/><Relationship Id="rId9" Type="http://schemas.openxmlformats.org/officeDocument/2006/relationships/hyperlink" Target="http://dx.doi.org/10.4084/MJHID.2016.058" TargetMode="External"/><Relationship Id="rId14" Type="http://schemas.openxmlformats.org/officeDocument/2006/relationships/hyperlink" Target="http://dx.doi.org/10.18295/squmj.2016.16.04.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Anil Pathare</dc:creator>
  <cp:keywords/>
  <dc:description/>
  <cp:lastModifiedBy>Anil Pathare</cp:lastModifiedBy>
  <cp:revision>10</cp:revision>
  <dcterms:created xsi:type="dcterms:W3CDTF">2016-07-04T04:09:00Z</dcterms:created>
  <dcterms:modified xsi:type="dcterms:W3CDTF">2018-07-03T08:58:00Z</dcterms:modified>
</cp:coreProperties>
</file>